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before="0" w:beforeAutospacing="0" w:after="0" w:afterAutospacing="0"/>
        <w:jc w:val="center"/>
        <w:textAlignment w:val="baseline"/>
        <w:rPr>
          <w:rStyle w:val="7"/>
          <w:rFonts w:ascii="微软雅黑" w:hAnsi="微软雅黑" w:eastAsia="微软雅黑" w:cs="Arial"/>
          <w:bCs w:val="0"/>
          <w:color w:val="333333"/>
          <w:sz w:val="36"/>
          <w:szCs w:val="36"/>
        </w:rPr>
      </w:pPr>
      <w:r>
        <w:rPr>
          <w:rStyle w:val="7"/>
          <w:rFonts w:ascii="Times New Roman" w:hAnsi="Times New Roman" w:eastAsia="微软雅黑" w:cs="Times New Roman"/>
          <w:color w:val="333333"/>
          <w:sz w:val="36"/>
          <w:szCs w:val="36"/>
        </w:rPr>
        <w:t>2024年</w:t>
      </w:r>
      <w:r>
        <w:rPr>
          <w:rStyle w:val="7"/>
          <w:rFonts w:hint="eastAsia" w:ascii="微软雅黑" w:hAnsi="微软雅黑" w:eastAsia="微软雅黑" w:cs="Arial"/>
          <w:color w:val="333333"/>
          <w:sz w:val="36"/>
          <w:szCs w:val="36"/>
        </w:rPr>
        <w:t>度云南省科学技术进步奖提名项目--《高原富营养化湖泊水体内负荷控制与水质改善关键技术及应用》公示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640" w:firstLineChars="200"/>
        <w:jc w:val="center"/>
        <w:textAlignment w:val="baseline"/>
        <w:rPr>
          <w:rStyle w:val="7"/>
          <w:rFonts w:ascii="微软雅黑" w:hAnsi="微软雅黑" w:eastAsia="微软雅黑" w:cs="Arial"/>
          <w:bCs w:val="0"/>
          <w:color w:val="333333"/>
          <w:sz w:val="32"/>
          <w:szCs w:val="32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8"/>
          <w:szCs w:val="28"/>
        </w:rPr>
      </w:pPr>
      <w:r>
        <w:rPr>
          <w:rStyle w:val="7"/>
          <w:rFonts w:hint="eastAsia" w:cs="Arial"/>
          <w:color w:val="333333"/>
          <w:sz w:val="28"/>
          <w:szCs w:val="28"/>
        </w:rPr>
        <w:t>一、项目基本情况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7"/>
          <w:rFonts w:cs="Arial"/>
          <w:b w:val="0"/>
          <w:bCs w:val="0"/>
        </w:rPr>
      </w:pPr>
      <w:r>
        <w:rPr>
          <w:rStyle w:val="7"/>
          <w:rFonts w:hint="eastAsia" w:cs="Arial"/>
          <w:b w:val="0"/>
          <w:color w:val="333333"/>
        </w:rPr>
        <w:t>项目名称：</w:t>
      </w:r>
      <w:r>
        <w:rPr>
          <w:rStyle w:val="7"/>
          <w:rFonts w:hint="eastAsia" w:cs="Arial"/>
          <w:b w:val="0"/>
          <w:bCs w:val="0"/>
        </w:rPr>
        <w:t>高原富营养化湖泊水体内负荷控制与水质改善关键技术及应用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7"/>
          <w:rFonts w:hint="default" w:eastAsia="宋体" w:cs="Arial"/>
          <w:b w:val="0"/>
          <w:bCs w:val="0"/>
          <w:lang w:val="en-US" w:eastAsia="zh-CN"/>
        </w:rPr>
      </w:pPr>
      <w:r>
        <w:rPr>
          <w:rStyle w:val="7"/>
          <w:rFonts w:hint="eastAsia" w:cs="Arial"/>
          <w:b w:val="0"/>
          <w:color w:val="333333"/>
        </w:rPr>
        <w:t>项目完成人：</w:t>
      </w:r>
      <w:r>
        <w:rPr>
          <w:rFonts w:hint="eastAsia"/>
        </w:rPr>
        <w:t>王志芸，王圣瑞，何佳，焦立新，倪兆奎，</w:t>
      </w:r>
      <w:r>
        <w:rPr>
          <w:rFonts w:hint="eastAsia"/>
          <w:lang w:val="en-US" w:eastAsia="zh-CN"/>
        </w:rPr>
        <w:t>王寿兵，</w:t>
      </w:r>
      <w:r>
        <w:rPr>
          <w:rFonts w:hint="eastAsia"/>
        </w:rPr>
        <w:t>赵磊，宋迪，翟兆锐，李杰，</w:t>
      </w:r>
      <w:r>
        <w:rPr>
          <w:rFonts w:hint="eastAsia"/>
          <w:lang w:val="en-US" w:eastAsia="zh-CN"/>
        </w:rPr>
        <w:t>吴雪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hint="eastAsia"/>
        </w:rPr>
      </w:pPr>
      <w:r>
        <w:rPr>
          <w:rStyle w:val="7"/>
          <w:rFonts w:hint="eastAsia" w:cs="Arial"/>
          <w:b w:val="0"/>
        </w:rPr>
        <w:t>项目完成单位：</w:t>
      </w:r>
      <w:r>
        <w:rPr>
          <w:rFonts w:hint="eastAsia"/>
        </w:rPr>
        <w:t>云南省生态环境科学研究院，中国环境科学研究院，昆明市生态环境科学研究院，北京师范大学珠海校区，</w:t>
      </w:r>
      <w:r>
        <w:rPr>
          <w:rFonts w:hint="eastAsia"/>
          <w:lang w:val="en-US" w:eastAsia="zh-CN"/>
        </w:rPr>
        <w:t>复旦大学，</w:t>
      </w:r>
      <w:r>
        <w:rPr>
          <w:rFonts w:hint="eastAsia"/>
        </w:rPr>
        <w:t>云南交投生态科技股份有限公司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7"/>
          <w:rFonts w:cs="Arial"/>
        </w:rPr>
      </w:pPr>
      <w:r>
        <w:rPr>
          <w:rStyle w:val="7"/>
          <w:rFonts w:hint="eastAsia" w:cs="Arial"/>
          <w:b w:val="0"/>
          <w:color w:val="333333"/>
        </w:rPr>
        <w:t>提名单位：云南省生态环境厅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Fonts w:cs="Arial"/>
        </w:rPr>
      </w:pPr>
      <w:r>
        <w:rPr>
          <w:rStyle w:val="7"/>
          <w:rFonts w:hint="eastAsia" w:cs="Arial"/>
          <w:b w:val="0"/>
          <w:color w:val="333333"/>
        </w:rPr>
        <w:t>拟提名等级：</w:t>
      </w:r>
      <w:r>
        <w:rPr>
          <w:rFonts w:hint="eastAsia" w:cs="Arial"/>
        </w:rPr>
        <w:t>提名云南省科技进步奖二等奖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7"/>
          <w:rFonts w:cs="Arial"/>
          <w:bCs w:val="0"/>
          <w:sz w:val="28"/>
          <w:szCs w:val="28"/>
        </w:rPr>
      </w:pPr>
      <w:r>
        <w:rPr>
          <w:rStyle w:val="7"/>
          <w:rFonts w:hint="eastAsia" w:cs="Arial"/>
          <w:color w:val="333333"/>
          <w:sz w:val="28"/>
          <w:szCs w:val="28"/>
        </w:rPr>
        <w:t>二、主要知识产权和标准规范等目录情况</w:t>
      </w:r>
      <w:r>
        <w:rPr>
          <w:rStyle w:val="7"/>
          <w:rFonts w:hint="eastAsia" w:cs="Arial"/>
          <w:sz w:val="28"/>
          <w:szCs w:val="28"/>
        </w:rPr>
        <w:t>（含授权专利、软件著作权、标准、规范、论文、论著）</w:t>
      </w:r>
    </w:p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7"/>
          <w:rFonts w:cs="Arial"/>
          <w:b w:val="0"/>
          <w:bCs w:val="0"/>
          <w:szCs w:val="21"/>
        </w:rPr>
      </w:pPr>
      <w:r>
        <w:rPr>
          <w:rStyle w:val="7"/>
          <w:rFonts w:hint="eastAsia" w:cs="Arial"/>
          <w:b w:val="0"/>
          <w:szCs w:val="21"/>
        </w:rPr>
        <w:t>（一）授权专利、软件著作权、标准、规范等情况</w:t>
      </w:r>
    </w:p>
    <w:tbl>
      <w:tblPr>
        <w:tblStyle w:val="8"/>
        <w:tblW w:w="10828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158"/>
        <w:gridCol w:w="801"/>
        <w:gridCol w:w="1134"/>
        <w:gridCol w:w="714"/>
        <w:gridCol w:w="1045"/>
        <w:gridCol w:w="1512"/>
        <w:gridCol w:w="1592"/>
        <w:gridCol w:w="935"/>
        <w:gridCol w:w="935"/>
      </w:tblGrid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知识产权（标准）类别</w:t>
            </w:r>
          </w:p>
        </w:tc>
        <w:tc>
          <w:tcPr>
            <w:tcW w:w="1158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知识产权（标准）具体名称</w:t>
            </w:r>
          </w:p>
        </w:tc>
        <w:tc>
          <w:tcPr>
            <w:tcW w:w="8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国家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（地区）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授权号（标准编号）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授权（标准发布）日期</w:t>
            </w:r>
          </w:p>
        </w:tc>
        <w:tc>
          <w:tcPr>
            <w:tcW w:w="104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证书编号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（标准批准发布部门）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权利人（标准起草单位）</w:t>
            </w:r>
          </w:p>
        </w:tc>
        <w:tc>
          <w:tcPr>
            <w:tcW w:w="159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发明人（标准起草人）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发明专利（标准）有效状态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一种治理富营养化湖泊蓝藻水华的方法</w:t>
            </w:r>
          </w:p>
        </w:tc>
        <w:tc>
          <w:tcPr>
            <w:tcW w:w="8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ZL201610368505.2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2018.06.05</w:t>
            </w:r>
          </w:p>
        </w:tc>
        <w:tc>
          <w:tcPr>
            <w:tcW w:w="104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第2950952号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云南省生态环境科学研究院</w:t>
            </w:r>
          </w:p>
        </w:tc>
        <w:tc>
          <w:tcPr>
            <w:tcW w:w="159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杨逢乐、李杰、王志芸、田军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基于DGT技术的沉水植物根区多元素分布实验装置及方法</w:t>
            </w:r>
          </w:p>
        </w:tc>
        <w:tc>
          <w:tcPr>
            <w:tcW w:w="8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ZL201910314303.3</w:t>
            </w:r>
          </w:p>
        </w:tc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2021.04.23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第4378666号</w:t>
            </w:r>
          </w:p>
        </w:tc>
        <w:tc>
          <w:tcPr>
            <w:tcW w:w="151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北京师范大学</w:t>
            </w: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王圣瑞、吴志皓、倪兆奎、焦立新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一种蓝藻水华对鱼类危害的量化方法</w:t>
            </w:r>
          </w:p>
        </w:tc>
        <w:tc>
          <w:tcPr>
            <w:tcW w:w="8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ZL202211090290.4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2024.01.26</w:t>
            </w:r>
          </w:p>
        </w:tc>
        <w:tc>
          <w:tcPr>
            <w:tcW w:w="104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第6651667号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昆明市生态环境科学研究院、复旦大学</w:t>
            </w:r>
          </w:p>
        </w:tc>
        <w:tc>
          <w:tcPr>
            <w:tcW w:w="159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支国强、何佳、杨艳、张威振、洪昌海、吴雪、邵智、张英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3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一种湖泊沉积物覆盖材料控制效果的评估方法及装置</w:t>
            </w:r>
          </w:p>
        </w:tc>
        <w:tc>
          <w:tcPr>
            <w:tcW w:w="801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ZL201710303782.X</w:t>
            </w:r>
          </w:p>
        </w:tc>
        <w:tc>
          <w:tcPr>
            <w:tcW w:w="714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2019.05.24</w:t>
            </w:r>
          </w:p>
        </w:tc>
        <w:tc>
          <w:tcPr>
            <w:tcW w:w="104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第3388835号</w:t>
            </w:r>
          </w:p>
        </w:tc>
        <w:tc>
          <w:tcPr>
            <w:tcW w:w="151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中国环境科学研究院</w:t>
            </w:r>
          </w:p>
        </w:tc>
        <w:tc>
          <w:tcPr>
            <w:tcW w:w="159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焦立新、杨苏文、何佳、金位栋、高秋生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4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一种沉积物间隙水磷酸盐高效去除材料的制备方法与应用</w:t>
            </w:r>
          </w:p>
        </w:tc>
        <w:tc>
          <w:tcPr>
            <w:tcW w:w="8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ZL201610798384.5</w:t>
            </w:r>
          </w:p>
        </w:tc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2018.11.02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第3130479号</w:t>
            </w:r>
          </w:p>
        </w:tc>
        <w:tc>
          <w:tcPr>
            <w:tcW w:w="151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中国环境科学研究院</w:t>
            </w: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王圣瑞、焦立新、赵海超、黎瑞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5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利用湖泊沉积物制备的改性控氮材料及其制备方法、应用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ZL201510770507.X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2019.05.24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第3388675号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中国环境科学研究院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焦立新、王圣瑞、汪淼、赵海超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6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发明专利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一种大水域蓝藻导流富集的方法与装置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ZL 2013 1 0363719.7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2017.07.07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第 2543433 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复旦大学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王寿兵；马小雪；屈云芳；郑正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失效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实用新型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随主导风向变化清除蓝藻的开放水域围隔浮体调节装置</w:t>
            </w:r>
          </w:p>
        </w:tc>
        <w:tc>
          <w:tcPr>
            <w:tcW w:w="8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ZL201520634315.1</w:t>
            </w:r>
          </w:p>
        </w:tc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2016.0106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第4913892号</w:t>
            </w:r>
          </w:p>
        </w:tc>
        <w:tc>
          <w:tcPr>
            <w:tcW w:w="151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云南省生态环境科学研究院</w:t>
            </w: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王志芸、杨逢乐、田军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实用新型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一种蓝藻藻水过滤浓缩装置</w:t>
            </w:r>
          </w:p>
        </w:tc>
        <w:tc>
          <w:tcPr>
            <w:tcW w:w="801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ZL202323576095.5</w:t>
            </w:r>
          </w:p>
        </w:tc>
        <w:tc>
          <w:tcPr>
            <w:tcW w:w="714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2024.0126</w:t>
            </w:r>
          </w:p>
        </w:tc>
        <w:tc>
          <w:tcPr>
            <w:tcW w:w="104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第20370484号</w:t>
            </w:r>
          </w:p>
        </w:tc>
        <w:tc>
          <w:tcPr>
            <w:tcW w:w="151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云南省生态环境科学研究院</w:t>
            </w:r>
          </w:p>
        </w:tc>
        <w:tc>
          <w:tcPr>
            <w:tcW w:w="159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蒋为、李杰、陈异晖、吴学灿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实用新型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蓝藻水华应急处理装置及蓝藻水华应急处理船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ZL201821895004.0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2019.10.29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第9541669号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云南云投生态湖泊治理有限公司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翟兆锐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实用新型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多功能吸藻头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ZL201821899376.0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2019.08.30</w:t>
            </w:r>
          </w:p>
        </w:tc>
        <w:tc>
          <w:tcPr>
            <w:tcW w:w="104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第9315638号</w:t>
            </w:r>
          </w:p>
        </w:tc>
        <w:tc>
          <w:tcPr>
            <w:tcW w:w="15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云南云投生态湖泊治理有限公司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翟兆锐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Layout w:type="fixed"/>
        </w:tblPrEx>
        <w:trPr>
          <w:trHeight w:val="680" w:hRule="atLeast"/>
          <w:jc w:val="center"/>
        </w:trPr>
        <w:tc>
          <w:tcPr>
            <w:tcW w:w="1002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实用新型</w:t>
            </w:r>
          </w:p>
        </w:tc>
        <w:tc>
          <w:tcPr>
            <w:tcW w:w="1158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螺旋预处理反应罐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中国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  <w:t>ZL201821895013.X</w:t>
            </w:r>
          </w:p>
        </w:tc>
        <w:tc>
          <w:tcPr>
            <w:tcW w:w="714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45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51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云南云投生态湖泊治理有限公司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翟兆锐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有效</w:t>
            </w:r>
          </w:p>
        </w:tc>
        <w:tc>
          <w:tcPr>
            <w:tcW w:w="935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7"/>
          <w:rFonts w:cs="Arial"/>
          <w:b w:val="0"/>
          <w:szCs w:val="21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7"/>
          <w:rFonts w:cs="Arial"/>
          <w:b w:val="0"/>
          <w:szCs w:val="21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7"/>
          <w:rFonts w:cs="Arial"/>
          <w:b w:val="0"/>
          <w:szCs w:val="21"/>
        </w:rPr>
      </w:pPr>
      <w:r>
        <w:rPr>
          <w:rStyle w:val="7"/>
          <w:rFonts w:hint="eastAsia" w:cs="Arial"/>
          <w:b w:val="0"/>
          <w:szCs w:val="21"/>
        </w:rPr>
        <w:t>（二）代表性论文著作</w:t>
      </w:r>
    </w:p>
    <w:tbl>
      <w:tblPr>
        <w:tblStyle w:val="8"/>
        <w:tblW w:w="5962" w:type="pct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9"/>
        <w:gridCol w:w="1"/>
        <w:gridCol w:w="1562"/>
        <w:gridCol w:w="2"/>
        <w:gridCol w:w="833"/>
        <w:gridCol w:w="3"/>
        <w:gridCol w:w="1388"/>
        <w:gridCol w:w="4"/>
        <w:gridCol w:w="1109"/>
        <w:gridCol w:w="5"/>
        <w:gridCol w:w="681"/>
        <w:gridCol w:w="6"/>
        <w:gridCol w:w="678"/>
        <w:gridCol w:w="7"/>
        <w:gridCol w:w="837"/>
        <w:gridCol w:w="8"/>
        <w:gridCol w:w="928"/>
        <w:gridCol w:w="9"/>
        <w:gridCol w:w="432"/>
        <w:gridCol w:w="10"/>
        <w:gridCol w:w="408"/>
        <w:gridCol w:w="11"/>
        <w:gridCol w:w="522"/>
        <w:gridCol w:w="12"/>
      </w:tblGrid>
      <w:tr>
        <w:tblPrEx>
          <w:tblLayout w:type="fixed"/>
        </w:tblPrEx>
        <w:trPr>
          <w:gridAfter w:val="1"/>
          <w:wAfter w:w="12" w:type="dxa"/>
          <w:trHeight w:val="480" w:hRule="atLeast"/>
          <w:tblHeader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论文专著名称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firstLine="180" w:firstLineChars="100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刊名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ind w:firstLine="360" w:firstLineChars="200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作者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年卷页码（xx年xx卷xx页）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发表时间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（年月日）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通讯作者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（含共同）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第一作者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（含共同）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国内作者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他引总次数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论文署名单位是否包含国外单位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知识产权是否归国内所有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1283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</w:p>
          <w:p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/>
              </w:rPr>
            </w:pP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/>
                <w:sz w:val="18"/>
                <w:szCs w:val="18"/>
              </w:rPr>
              <w:t>Distribution of phosphorus and nitrogen in the sediments of the north bay in Dianchi Lake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/>
                <w:sz w:val="18"/>
                <w:szCs w:val="18"/>
              </w:rPr>
              <w:t>Environmental Engineering Science,</w:t>
            </w:r>
            <w:r>
              <w:rPr>
                <w:rStyle w:val="18"/>
                <w:rFonts w:eastAsia="仿宋"/>
                <w:b/>
                <w:bCs/>
                <w:i/>
                <w:iCs/>
                <w:color w:val="000000"/>
                <w:szCs w:val="21"/>
              </w:rPr>
              <w:t xml:space="preserve"> 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/>
                <w:sz w:val="18"/>
                <w:szCs w:val="18"/>
              </w:rPr>
              <w:t>Di Song, Xiaohua Bai*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/>
                <w:sz w:val="18"/>
                <w:szCs w:val="18"/>
              </w:rPr>
              <w:t>2016, 33(8): 563-570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白晓华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宋迪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宋迪，白晓华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1278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Novel insights into molecular composition of organic phosphorus in lake sediments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ascii="仿宋" w:hAnsi="仿宋" w:eastAsia="仿宋"/>
                <w:sz w:val="18"/>
                <w:szCs w:val="18"/>
              </w:rPr>
              <w:fldChar w:fldCharType="begin"/>
            </w:r>
            <w:r>
              <w:rPr>
                <w:rFonts w:ascii="仿宋" w:hAnsi="仿宋" w:eastAsia="仿宋"/>
                <w:sz w:val="18"/>
                <w:szCs w:val="18"/>
              </w:rPr>
              <w:instrText xml:space="preserve">HYPERLINK "https://www.sciencedirect.com/journal/water-research" \o "Go to Water Research on ScienceDirect"</w:instrText>
            </w:r>
            <w:r>
              <w:rPr>
                <w:rFonts w:ascii="仿宋" w:hAnsi="仿宋" w:eastAsia="仿宋"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Water Research</w:t>
            </w:r>
            <w:r>
              <w:rPr>
                <w:rFonts w:ascii="仿宋" w:hAnsi="仿宋" w:eastAsia="仿宋"/>
                <w:sz w:val="18"/>
                <w:szCs w:val="18"/>
              </w:rPr>
              <w:fldChar w:fldCharType="end"/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倪兆奎，黄冬凌，李钰，刘晓斐，王圣瑞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022.</w:t>
            </w:r>
            <w:r>
              <w:rPr>
                <w:rFonts w:ascii="仿宋" w:hAnsi="仿宋" w:eastAsia="仿宋"/>
                <w:sz w:val="18"/>
                <w:szCs w:val="18"/>
              </w:rPr>
              <w:fldChar w:fldCharType="begin"/>
            </w:r>
            <w:r>
              <w:rPr>
                <w:rFonts w:ascii="仿宋" w:hAnsi="仿宋" w:eastAsia="仿宋"/>
                <w:sz w:val="18"/>
                <w:szCs w:val="18"/>
              </w:rPr>
              <w:instrText xml:space="preserve">HYPERLINK "https://www.sciencedirect.com/journal/water-research/vol/214/suppl/C" \o "Go to table of contents for this volume/issue"</w:instrText>
            </w:r>
            <w:r>
              <w:rPr>
                <w:rFonts w:ascii="仿宋" w:hAnsi="仿宋" w:eastAsia="仿宋"/>
                <w:sz w:val="18"/>
                <w:szCs w:val="18"/>
              </w:rPr>
              <w:fldChar w:fldCharType="separate"/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214</w:t>
            </w:r>
            <w:r>
              <w:rPr>
                <w:rFonts w:ascii="仿宋" w:hAnsi="仿宋" w:eastAsia="仿宋"/>
                <w:sz w:val="18"/>
                <w:szCs w:val="18"/>
              </w:rPr>
              <w:fldChar w:fldCharType="end"/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: 118197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022.5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王圣瑞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倪兆奎，黄冬凌，李钰，刘晓斐，王圣瑞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2013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Molecular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weight driving bioavailability and intrinsic degradation mechanisms of dissolved organic phosphorus in lake sediment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Water Research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倪兆奎，黄冬凌，肖梦琪，刘晓斐，王圣瑞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2022.210: 117951.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022.2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王圣瑞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倪兆奎，黄冬凌，肖梦琪，刘晓斐，王圣瑞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9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1503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Cognizing and characterizing the organic phosphorus in lake sediments: Advances and challenges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Water Research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倪兆奎，李钰，王圣瑞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2022.220: 118663.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2022.7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王圣瑞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倪兆奎，李钰，王圣瑞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1874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5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Molecular insights into water-extractable organic phosphorus from lake sediment and its environmental implications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Chemical Engineering Journal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倪兆奎，肖梦琪，罗军，Zhang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 Hao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，郑蕾，王国强，王圣瑞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2021.416: 129004.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021.7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王圣瑞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倪兆奎，肖梦琪，罗军，郑蕾，王国强，王圣瑞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7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2009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6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Historical changes of sedimentary P-binding forms and their ecological driving mechanism in a typical “grass-algae” eutrophic lake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Water Research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丁帅，刘琰，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Solomon Felix Dan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，焦立新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2021,204，117604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2021,10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焦立新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丁帅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丁帅，刘琰，焦立新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2009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Importance of ammonia nitrogen potentially released from sediments to the development of eutrophication in a plateau lake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Environmental Pollution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丁帅，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Solomon Felix Dan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，刘琰，何佳，焦立新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2022，305，119275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2022,7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焦立新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丁帅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丁帅，刘琰，何佳，焦立新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90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8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Fluorescence Characteristics of DOM and its Influences on Water Quality of Rivers and Lakes in the Dianchi Lake Basin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Ecological Indicators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何佳，支国强，吴雪，郑丙辉，焦立新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2022.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142: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109088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2022.7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郑丙辉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何佳，支国强，吴雪，郑丙辉，焦立新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1649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9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Ammonia nitrogen adsorption and release characteristics of surface sediments in Dianchi Lake, China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Environmental Earth Sciences 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何佳，邓伟明，陈春瑜，徐晓梅，王圣瑞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2015，74：3917-3927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2015.8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徐晓梅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何佳，邓伟明，陈春瑜，徐晓梅，王圣瑞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1649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Effects of garlic and diallyl trisulfide on the growth, photosynthesis, and alkaline phosphatase activity of the toxic cyanobacterium Microcystis aeruginosa.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Environmental Science and Pollution Research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 xml:space="preserve">王寿兵，汪远安，马小雪 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2016,23:5712-5720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王寿兵，汪远安，马小雪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949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湖泊生态系统稳态转换驱动因子判定方法研究进展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水生态学杂志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赵磊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 xml:space="preserve">2017,38(01): 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1-9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2017年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赵磊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赵磊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赵磊，刘永，李玉照，朱翔*，邹锐，宋迪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765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滇池蓝藻水华与氮磷响应机制研究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环境科学与技术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2017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40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卷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111-192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017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年6月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李杰，宋迪，白晓华，谭志卫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1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904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滇池表层沉积物对磷的吸附特征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环境科学学报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陈春瑜，徐晓梅，邓伟明，何 佳，王圣瑞，焦立新，李森，许 迪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2014，34(12) : 3065-3075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2014.12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陈春瑜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陈春瑜，徐晓梅，邓伟明，何 佳，王圣瑞，焦立新，李森，许 迪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1175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bookmarkStart w:id="0" w:name="OLE_LINK17"/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滇池水-沉积物界面磷形态分布及潜在释放特征</w:t>
            </w:r>
            <w:bookmarkEnd w:id="0"/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湖泊科学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何 佳，陈春瑜，邓伟，徐晓梅，王圣瑞，刘文斌，吴 ，王 丽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2015，27( 5) : 799-810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2015.5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何佳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何 佳，陈春瑜，邓伟，徐晓梅，王圣瑞，刘文斌，吴 ，王 丽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672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bookmarkStart w:id="1" w:name="OLE_LINK1" w:colFirst="10" w:colLast="11"/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基于系统动力学的高原湖泊流域污染负荷入湖总量</w:t>
            </w:r>
            <w:r>
              <w:rPr>
                <w:rFonts w:hint="default" w:ascii="仿宋" w:hAnsi="仿宋" w:eastAsia="仿宋" w:cs="Times New Roman"/>
                <w:color w:val="000000"/>
                <w:sz w:val="18"/>
                <w:szCs w:val="18"/>
                <w:lang w:val="en-US" w:eastAsia="zh-CN"/>
              </w:rPr>
              <w:t>预测的应用研究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生态经济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2016，32（2）：179-182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2016.06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672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湖泊生态系统稳态转换理论与驱动因子研究进展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生态环境学报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赵磊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2014, 23(10):1697-1707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2014年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赵磊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赵磊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赵磊，刘永，李玉照，朱翔*，邹锐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trHeight w:val="745" w:hRule="atLeast"/>
          <w:jc w:val="center"/>
        </w:trPr>
        <w:tc>
          <w:tcPr>
            <w:tcW w:w="4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绿色发展指标体系的环境损益优化分析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生态经济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2020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36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期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209-213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页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020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年1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月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50" w:line="240" w:lineRule="atLeast"/>
              <w:ind w:firstLine="0" w:firstLineChars="0"/>
              <w:jc w:val="left"/>
              <w:textAlignment w:val="auto"/>
              <w:outlineLvl w:val="1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李杰，陈异晖，董林，张晓宇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8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1008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滇池富营养化和水华控制技术路径研究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云南科技出版社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2022年10月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2022年10月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王志芸，张晓旭，谭志卫，秦江，张春敏，黄立成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1008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云贵高原湖泊水污染治理与富营养化控制技术集成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云南科技出版社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2022年10月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2022年10月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王志芸，赵祥华、胡玉之、王玮璐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</w:tr>
      <w:bookmarkEnd w:id="1"/>
      <w:tr>
        <w:tblPrEx>
          <w:tblLayout w:type="fixed"/>
        </w:tblPrEx>
        <w:trPr>
          <w:gridAfter w:val="1"/>
          <w:wAfter w:w="12" w:type="dxa"/>
          <w:trHeight w:val="1028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云南省高原湖泊藻类生长机制和防治工程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科学出版社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018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年6月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018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年6月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after="50" w:line="240" w:lineRule="atLeast"/>
              <w:ind w:firstLine="0" w:firstLineChars="0"/>
              <w:jc w:val="left"/>
              <w:textAlignment w:val="auto"/>
              <w:outlineLvl w:val="1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李杰，杨逢乐，黄玥，陈敬安，杨海全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269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/>
                <w:sz w:val="18"/>
                <w:szCs w:val="18"/>
                <w:highlight w:val="gree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The relationships of meteorological factors and nutrient levels with phytoplankton biomass in a shallow eutrophic lake dominated by cyanobacteria, Lake Dianchi from 1991 to 2013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Enrionmetal Science and Pollution Research,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周启超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2016, 23(15): 15616.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  <w:lang w:eastAsia="zh-CN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周启超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周启超、赵磊等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Qichao Zhou, Yunlin Zhang, Dunmei Lin, Kun Shan, Yu Luo, Lei Zhao, Zhiwei Tan, Lirong Song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eastAsia"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基于生物操纵的富营养化湖库蓝藻控制实践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水资源保护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王寿兵，屈云方，徐紫然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2016，32（5）：1-4，23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王寿兵，屈云方，徐紫然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大型湖库富营养化蓝藻水华防控技术发展述评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水资源保护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王寿兵，徐紫然，张洁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2016,32(04)：88-99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王寿兵，徐紫然，张洁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Cu2+对铜绿微囊藻生长及叶绿素荧光主要参数的影响研究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中国环境科学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王寿兵，徐紫然，马小雪，樊正球,张 洁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2016,36(12): 3759~3765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王寿兵，徐紫然，马小雪，樊正球,张 洁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滇池高等沉水植物50年变迁状况对生态修复的启示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水资源保护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王寿兵，徐紫然，张洁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2016,32(06)：1-6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2016年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王寿兵，徐紫然，张洁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水体高pH值对滇池生态修复的潜在影响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水资源保护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王寿兵,隗 琪,陈浩,姜钇茹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2023，39（4）：26-31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2023年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王寿兵,隗 琪,陈浩,姜钇茹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Vertical migration patterns of different phytoplankton species during a summer bloom in Dianchi Lake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Environmental Earth Science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马小雪，汪远安，冯述青，王寿兵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2015,74（5）：3805-3814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2015年</w:t>
            </w:r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马小雪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马小雪，汪远安，冯述青，王寿兵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  <w:tr>
        <w:tblPrEx>
          <w:tblLayout w:type="fixed"/>
        </w:tblPrEx>
        <w:trPr>
          <w:gridAfter w:val="1"/>
          <w:wAfter w:w="12" w:type="dxa"/>
          <w:trHeight w:val="904" w:hRule="atLeast"/>
          <w:jc w:val="center"/>
        </w:trPr>
        <w:tc>
          <w:tcPr>
            <w:tcW w:w="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tLeast"/>
              <w:jc w:val="left"/>
              <w:textAlignment w:val="auto"/>
              <w:rPr>
                <w:rFonts w:hint="default" w:ascii="仿宋" w:hAnsi="仿宋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5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Comparison of four flocculants for removing algae in Dianchi Lake</w:t>
            </w:r>
          </w:p>
        </w:tc>
        <w:tc>
          <w:tcPr>
            <w:tcW w:w="8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Environmental Earth Science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马小雪，汪远安，冯述青，王寿兵</w:t>
            </w:r>
          </w:p>
        </w:tc>
        <w:tc>
          <w:tcPr>
            <w:tcW w:w="11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2015,74（5）：3795-3804</w:t>
            </w:r>
          </w:p>
        </w:tc>
        <w:tc>
          <w:tcPr>
            <w:tcW w:w="6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2015年</w:t>
            </w:r>
            <w:bookmarkStart w:id="2" w:name="_GoBack"/>
            <w:bookmarkEnd w:id="2"/>
          </w:p>
        </w:tc>
        <w:tc>
          <w:tcPr>
            <w:tcW w:w="6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王寿兵</w:t>
            </w:r>
          </w:p>
        </w:tc>
        <w:tc>
          <w:tcPr>
            <w:tcW w:w="8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马小雪</w:t>
            </w:r>
          </w:p>
        </w:tc>
        <w:tc>
          <w:tcPr>
            <w:tcW w:w="9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马小雪，汪远安，冯述青，王寿兵</w:t>
            </w:r>
          </w:p>
        </w:tc>
        <w:tc>
          <w:tcPr>
            <w:tcW w:w="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否</w:t>
            </w:r>
          </w:p>
        </w:tc>
        <w:tc>
          <w:tcPr>
            <w:tcW w:w="5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18"/>
                <w:szCs w:val="18"/>
              </w:rPr>
              <w:t>是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7"/>
          <w:rFonts w:cs="Arial"/>
          <w:color w:val="333333"/>
          <w:sz w:val="28"/>
          <w:szCs w:val="28"/>
        </w:rPr>
      </w:pPr>
    </w:p>
    <w:p>
      <w:pPr>
        <w:pStyle w:val="5"/>
        <w:adjustRightInd w:val="0"/>
        <w:snapToGrid w:val="0"/>
        <w:spacing w:before="0" w:beforeAutospacing="0" w:after="0" w:afterAutospacing="0" w:line="360" w:lineRule="auto"/>
        <w:textAlignment w:val="baseline"/>
        <w:rPr>
          <w:rStyle w:val="7"/>
          <w:rFonts w:cs="Arial"/>
          <w:b w:val="0"/>
          <w:bCs w:val="0"/>
          <w:szCs w:val="21"/>
        </w:rPr>
      </w:pPr>
      <w:r>
        <w:rPr>
          <w:rStyle w:val="7"/>
          <w:rFonts w:hint="eastAsia" w:cs="Arial"/>
          <w:color w:val="333333"/>
          <w:sz w:val="28"/>
          <w:szCs w:val="28"/>
        </w:rPr>
        <w:t>三、主要完成人基本情况</w:t>
      </w:r>
    </w:p>
    <w:tbl>
      <w:tblPr>
        <w:tblStyle w:val="8"/>
        <w:tblW w:w="498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741"/>
        <w:gridCol w:w="1116"/>
        <w:gridCol w:w="4228"/>
      </w:tblGrid>
      <w:tr>
        <w:tblPrEx>
          <w:tblLayout w:type="fixed"/>
        </w:tblPrEx>
        <w:trPr>
          <w:trHeight w:val="517" w:hRule="atLeast"/>
          <w:tblHeader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职称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 w:val="21"/>
                <w:szCs w:val="21"/>
              </w:rPr>
              <w:t>学历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sz w:val="21"/>
                <w:szCs w:val="21"/>
              </w:rPr>
              <w:t>完成单位</w:t>
            </w: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</w:rPr>
              <w:t>（工作单位）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王志芸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正高级工程师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学士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云南省生态环境科学研究院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王圣瑞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教授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北京师范大学珠海校区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</w:rPr>
              <w:t>何佳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正高级工程师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昆明市生态环境科学研究院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</w:rPr>
              <w:t>焦立新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研究员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中国环境科学研究院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倪兆奎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副研究员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北京师范大学珠海校区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王寿兵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教授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复旦大学</w:t>
            </w:r>
          </w:p>
        </w:tc>
      </w:tr>
      <w:tr>
        <w:tblPrEx>
          <w:tblLayout w:type="fixed"/>
        </w:tblPrEx>
        <w:trPr>
          <w:trHeight w:val="397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</w:rPr>
              <w:t>赵磊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正高级工程师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云南省生态环境科学研究院（云南师范大学）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</w:rPr>
              <w:t>宋迪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高级工程师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硕士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云南省生态环境科学研究院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0"/>
                <w:szCs w:val="20"/>
              </w:rPr>
              <w:t>翟兆锐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大专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云南交投生态科技股份有限公司（</w:t>
            </w: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云南云投生态湖泊治理有限公司</w:t>
            </w: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）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李杰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正高级工程师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博士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云南省生态环境科学研究院</w:t>
            </w:r>
          </w:p>
        </w:tc>
      </w:tr>
      <w:tr>
        <w:tblPrEx>
          <w:tblLayout w:type="fixed"/>
        </w:tblPrEx>
        <w:trPr>
          <w:trHeight w:val="372" w:hRule="atLeast"/>
        </w:trPr>
        <w:tc>
          <w:tcPr>
            <w:tcW w:w="1410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吴雪</w:t>
            </w:r>
          </w:p>
        </w:tc>
        <w:tc>
          <w:tcPr>
            <w:tcW w:w="1741" w:type="dxa"/>
            <w:vAlign w:val="center"/>
          </w:tcPr>
          <w:p>
            <w:pPr>
              <w:spacing w:after="0"/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高级工程师</w:t>
            </w:r>
          </w:p>
        </w:tc>
        <w:tc>
          <w:tcPr>
            <w:tcW w:w="1116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硕士</w:t>
            </w:r>
          </w:p>
        </w:tc>
        <w:tc>
          <w:tcPr>
            <w:tcW w:w="4228" w:type="dxa"/>
            <w:vAlign w:val="center"/>
          </w:tcPr>
          <w:p>
            <w:pPr>
              <w:spacing w:after="0"/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</w:rPr>
              <w:t>昆明市生态环境科学研究院</w:t>
            </w:r>
          </w:p>
        </w:tc>
      </w:tr>
    </w:tbl>
    <w:p>
      <w:pPr>
        <w:pStyle w:val="5"/>
        <w:adjustRightInd w:val="0"/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7"/>
          <w:rFonts w:cs="Arial"/>
          <w:b w:val="0"/>
          <w:bCs w:val="0"/>
          <w:szCs w:val="21"/>
          <w:highlight w:val="yellow"/>
        </w:rPr>
      </w:pPr>
    </w:p>
    <w:p>
      <w:pPr>
        <w:spacing w:line="360" w:lineRule="auto"/>
        <w:ind w:firstLine="440" w:firstLineChars="200"/>
        <w:rPr>
          <w:highlight w:val="yellow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细黑"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qFormat/>
    <w:uiPriority w:val="0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仿宋_GB2312" w:hAnsi="Times New Roman" w:eastAsia="宋体" w:cs="Times New Roman"/>
      <w:kern w:val="2"/>
      <w:sz w:val="24"/>
      <w:szCs w:val="20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qFormat/>
    <w:uiPriority w:val="99"/>
    <w:rPr>
      <w:b/>
      <w:bCs/>
    </w:rPr>
  </w:style>
  <w:style w:type="paragraph" w:customStyle="1" w:styleId="9">
    <w:name w:val="TableOfAuthoring"/>
    <w:basedOn w:val="1"/>
    <w:next w:val="1"/>
    <w:qFormat/>
    <w:uiPriority w:val="0"/>
    <w:pPr>
      <w:ind w:left="420"/>
    </w:pPr>
  </w:style>
  <w:style w:type="paragraph" w:customStyle="1" w:styleId="10">
    <w:name w:val="Table Paragraph"/>
    <w:basedOn w:val="1"/>
    <w:qFormat/>
    <w:uiPriority w:val="99"/>
    <w:pPr>
      <w:widowControl w:val="0"/>
      <w:autoSpaceDE w:val="0"/>
      <w:autoSpaceDN w:val="0"/>
      <w:adjustRightInd/>
      <w:snapToGrid/>
      <w:spacing w:after="0"/>
    </w:pPr>
    <w:rPr>
      <w:rFonts w:ascii="宋体" w:hAnsi="宋体" w:eastAsia="宋体" w:cs="宋体"/>
      <w:lang w:eastAsia="en-US"/>
    </w:rPr>
  </w:style>
  <w:style w:type="character" w:customStyle="1" w:styleId="11">
    <w:name w:val="given-name"/>
    <w:basedOn w:val="6"/>
    <w:qFormat/>
    <w:uiPriority w:val="0"/>
  </w:style>
  <w:style w:type="character" w:customStyle="1" w:styleId="12">
    <w:name w:val="text"/>
    <w:basedOn w:val="6"/>
    <w:qFormat/>
    <w:uiPriority w:val="0"/>
  </w:style>
  <w:style w:type="character" w:customStyle="1" w:styleId="13">
    <w:name w:val="页眉 字符"/>
    <w:basedOn w:val="6"/>
    <w:link w:val="4"/>
    <w:qFormat/>
    <w:uiPriority w:val="0"/>
    <w:rPr>
      <w:rFonts w:ascii="Tahoma" w:hAnsi="Tahoma" w:eastAsia="微软雅黑"/>
      <w:sz w:val="18"/>
      <w:szCs w:val="18"/>
    </w:rPr>
  </w:style>
  <w:style w:type="character" w:customStyle="1" w:styleId="14">
    <w:name w:val="页脚 字符"/>
    <w:basedOn w:val="6"/>
    <w:link w:val="3"/>
    <w:qFormat/>
    <w:uiPriority w:val="0"/>
    <w:rPr>
      <w:rFonts w:ascii="Tahoma" w:hAnsi="Tahoma" w:eastAsia="微软雅黑"/>
      <w:sz w:val="18"/>
      <w:szCs w:val="18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7">
    <w:name w:val="纯文本 字符"/>
    <w:link w:val="2"/>
    <w:qFormat/>
    <w:uiPriority w:val="0"/>
    <w:rPr>
      <w:rFonts w:ascii="仿宋_GB2312"/>
      <w:kern w:val="2"/>
      <w:sz w:val="24"/>
    </w:rPr>
  </w:style>
  <w:style w:type="character" w:customStyle="1" w:styleId="18">
    <w:name w:val="s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754</Words>
  <Characters>4304</Characters>
  <Lines>35</Lines>
  <Paragraphs>10</Paragraphs>
  <ScaleCrop>false</ScaleCrop>
  <LinksUpToDate>false</LinksUpToDate>
  <CharactersWithSpaces>5048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2023-03-28T10:28:00Z</dcterms:created>
  <dc:creator>lxr</dc:creator>
  <cp:lastModifiedBy>iPhone</cp:lastModifiedBy>
  <cp:lastPrinted>2023-04-03T15:43:00Z</cp:lastPrinted>
  <dcterms:modified xsi:type="dcterms:W3CDTF">2024-04-08T22:12:33Z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4317710C913A410D983444E879678CD1</vt:lpwstr>
  </property>
</Properties>
</file>